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4D7" w:rsidRPr="007F2214" w:rsidRDefault="00A044D7" w:rsidP="00A044D7">
      <w:pPr>
        <w:ind w:hanging="2"/>
        <w:jc w:val="right"/>
        <w:rPr>
          <w:rFonts w:ascii="Times New Roman" w:hAnsi="Times New Roman" w:cs="Times New Roman"/>
          <w:b/>
          <w:color w:val="121212"/>
          <w:sz w:val="24"/>
          <w:szCs w:val="24"/>
        </w:rPr>
      </w:pPr>
      <w:bookmarkStart w:id="0" w:name="_GoBack"/>
      <w:bookmarkEnd w:id="0"/>
      <w:r w:rsidRPr="007F2214">
        <w:rPr>
          <w:rFonts w:ascii="Times New Roman" w:hAnsi="Times New Roman" w:cs="Times New Roman"/>
          <w:b/>
          <w:color w:val="121212"/>
          <w:sz w:val="24"/>
          <w:szCs w:val="24"/>
        </w:rPr>
        <w:t>ДОДАТОК 1 ДО ТЕНДЕРНОЇ ДОКУМЕНТАЦІЇ</w:t>
      </w:r>
    </w:p>
    <w:p w:rsidR="00971104" w:rsidRDefault="00971104" w:rsidP="00971104">
      <w:pPr>
        <w:autoSpaceDE w:val="0"/>
        <w:autoSpaceDN w:val="0"/>
        <w:adjustRightInd w:val="0"/>
        <w:spacing w:after="0" w:line="240" w:lineRule="auto"/>
        <w:ind w:left="284" w:right="23"/>
        <w:jc w:val="center"/>
        <w:rPr>
          <w:rFonts w:ascii="Times New Roman" w:hAnsi="Times New Roman"/>
          <w:b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color w:val="000000"/>
          <w:kern w:val="2"/>
          <w:sz w:val="24"/>
          <w:szCs w:val="24"/>
          <w:lang w:eastAsia="ar-SA"/>
        </w:rPr>
        <w:t>ІНФОРМАЦІЯ ПРО НЕОБХІДНІ ТЕХНІЧНІ, ЯКІСНІ ТА КІЛЬКІСНІ ХАРАКТЕРИСТИКИ ПРЕДМЕТА ЗАКУПІВЛІ</w:t>
      </w:r>
    </w:p>
    <w:p w:rsidR="00971104" w:rsidRPr="001D40DD" w:rsidRDefault="00971104" w:rsidP="00971104">
      <w:pPr>
        <w:autoSpaceDE w:val="0"/>
        <w:autoSpaceDN w:val="0"/>
        <w:adjustRightInd w:val="0"/>
        <w:spacing w:after="0" w:line="240" w:lineRule="auto"/>
        <w:ind w:left="284" w:right="23"/>
        <w:jc w:val="center"/>
        <w:rPr>
          <w:rFonts w:ascii="Times New Roman" w:hAnsi="Times New Roman"/>
          <w:b/>
          <w:color w:val="000000"/>
          <w:kern w:val="2"/>
          <w:sz w:val="24"/>
          <w:szCs w:val="24"/>
          <w:lang w:eastAsia="ar-SA"/>
        </w:rPr>
      </w:pPr>
      <w:r w:rsidRPr="001D40DD">
        <w:rPr>
          <w:rFonts w:ascii="Times New Roman" w:hAnsi="Times New Roman"/>
          <w:b/>
          <w:color w:val="000000"/>
          <w:kern w:val="2"/>
          <w:sz w:val="24"/>
          <w:szCs w:val="24"/>
          <w:lang w:eastAsia="ar-SA"/>
        </w:rPr>
        <w:t>«Послуги з організації шкільного харчування»</w:t>
      </w:r>
    </w:p>
    <w:p w:rsidR="00971104" w:rsidRDefault="00971104" w:rsidP="00971104">
      <w:pPr>
        <w:autoSpaceDE w:val="0"/>
        <w:autoSpaceDN w:val="0"/>
        <w:adjustRightInd w:val="0"/>
        <w:spacing w:after="0" w:line="240" w:lineRule="auto"/>
        <w:ind w:left="284" w:right="23"/>
        <w:jc w:val="center"/>
        <w:rPr>
          <w:rFonts w:ascii="Times New Roman" w:hAnsi="Times New Roman"/>
          <w:b/>
          <w:kern w:val="2"/>
          <w:sz w:val="24"/>
          <w:szCs w:val="24"/>
          <w:lang w:eastAsia="ar-SA"/>
        </w:rPr>
      </w:pPr>
      <w:r w:rsidRPr="001D40DD">
        <w:rPr>
          <w:rFonts w:ascii="Times New Roman" w:hAnsi="Times New Roman"/>
          <w:b/>
          <w:color w:val="000000"/>
          <w:kern w:val="2"/>
          <w:sz w:val="24"/>
          <w:szCs w:val="24"/>
          <w:lang w:eastAsia="ar-SA"/>
        </w:rPr>
        <w:t xml:space="preserve">ДК 021:2015 55510000-8 Послуги </w:t>
      </w:r>
      <w:proofErr w:type="spellStart"/>
      <w:r w:rsidRPr="001D40DD">
        <w:rPr>
          <w:rFonts w:ascii="Times New Roman" w:hAnsi="Times New Roman"/>
          <w:b/>
          <w:color w:val="000000"/>
          <w:kern w:val="2"/>
          <w:sz w:val="24"/>
          <w:szCs w:val="24"/>
          <w:lang w:eastAsia="ar-SA"/>
        </w:rPr>
        <w:t>їдалень</w:t>
      </w:r>
      <w:proofErr w:type="spellEnd"/>
    </w:p>
    <w:p w:rsidR="00971104" w:rsidRDefault="00971104" w:rsidP="00971104">
      <w:pPr>
        <w:autoSpaceDE w:val="0"/>
        <w:autoSpaceDN w:val="0"/>
        <w:adjustRightInd w:val="0"/>
        <w:spacing w:after="0" w:line="240" w:lineRule="auto"/>
        <w:ind w:left="284" w:right="23"/>
        <w:jc w:val="center"/>
        <w:rPr>
          <w:rFonts w:ascii="Times New Roman" w:hAnsi="Times New Roman"/>
          <w:b/>
          <w:color w:val="FF0000"/>
          <w:kern w:val="2"/>
          <w:sz w:val="24"/>
          <w:szCs w:val="24"/>
          <w:lang w:eastAsia="ar-SA"/>
        </w:rPr>
      </w:pPr>
    </w:p>
    <w:p w:rsidR="00971104" w:rsidRDefault="00971104" w:rsidP="00971104">
      <w:pPr>
        <w:autoSpaceDE w:val="0"/>
        <w:autoSpaceDN w:val="0"/>
        <w:adjustRightInd w:val="0"/>
        <w:spacing w:after="0" w:line="240" w:lineRule="auto"/>
        <w:ind w:left="284" w:right="23"/>
        <w:jc w:val="center"/>
        <w:rPr>
          <w:rFonts w:ascii="Times New Roman" w:hAnsi="Times New Roman"/>
          <w:b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color w:val="000000"/>
          <w:kern w:val="2"/>
          <w:sz w:val="24"/>
          <w:szCs w:val="24"/>
          <w:lang w:eastAsia="ar-SA"/>
        </w:rPr>
        <w:t>ТЕХНІЧНА СПЕЦИФІКАЦІЯ (ЗАВДАННЯ)</w:t>
      </w:r>
    </w:p>
    <w:p w:rsidR="00971104" w:rsidRDefault="00971104" w:rsidP="00971104">
      <w:pPr>
        <w:autoSpaceDE w:val="0"/>
        <w:autoSpaceDN w:val="0"/>
        <w:adjustRightInd w:val="0"/>
        <w:spacing w:after="0" w:line="240" w:lineRule="auto"/>
        <w:ind w:left="284" w:right="23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7F2214">
        <w:rPr>
          <w:rFonts w:ascii="Times New Roman" w:hAnsi="Times New Roman" w:cs="Times New Roman"/>
          <w:b/>
          <w:smallCaps/>
          <w:sz w:val="24"/>
          <w:szCs w:val="24"/>
        </w:rPr>
        <w:t xml:space="preserve">МІСЦЕ ТА </w:t>
      </w:r>
      <w:r w:rsidR="00745E36">
        <w:rPr>
          <w:rFonts w:ascii="Times New Roman" w:hAnsi="Times New Roman" w:cs="Times New Roman"/>
          <w:b/>
          <w:smallCaps/>
          <w:sz w:val="24"/>
          <w:szCs w:val="24"/>
        </w:rPr>
        <w:t>ОБСЯГ НАДАННЯ ПОСЛУГ</w:t>
      </w: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5004"/>
        <w:gridCol w:w="4943"/>
      </w:tblGrid>
      <w:tr w:rsidR="00971104" w:rsidTr="00BD05C4">
        <w:tc>
          <w:tcPr>
            <w:tcW w:w="5004" w:type="dxa"/>
          </w:tcPr>
          <w:p w:rsidR="00971104" w:rsidRPr="007A7690" w:rsidRDefault="00971104" w:rsidP="00BD05C4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7A7690">
              <w:rPr>
                <w:rFonts w:ascii="Times New Roman" w:hAnsi="Times New Roman" w:cs="Times New Roman"/>
                <w:b/>
                <w:highlight w:val="white"/>
              </w:rPr>
              <w:t xml:space="preserve">Повна назва навчального закладу </w:t>
            </w:r>
            <w:r w:rsidRPr="007A7690">
              <w:rPr>
                <w:rFonts w:ascii="Times New Roman" w:hAnsi="Times New Roman" w:cs="Times New Roman"/>
                <w:b/>
                <w:highlight w:val="white"/>
              </w:rPr>
              <w:br/>
              <w:t>(код ЄДРПОУ)</w:t>
            </w:r>
          </w:p>
        </w:tc>
        <w:tc>
          <w:tcPr>
            <w:tcW w:w="4943" w:type="dxa"/>
            <w:vAlign w:val="center"/>
          </w:tcPr>
          <w:p w:rsidR="00971104" w:rsidRPr="00745E36" w:rsidRDefault="007A7690" w:rsidP="00BD05C4">
            <w:pPr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</w:rPr>
              <w:t>Ліцей №74 імені Ма</w:t>
            </w:r>
            <w:r w:rsidR="007B7A6E">
              <w:rPr>
                <w:rFonts w:ascii="Times New Roman" w:hAnsi="Times New Roman"/>
                <w:color w:val="000000" w:themeColor="text1"/>
              </w:rPr>
              <w:t>р</w:t>
            </w:r>
            <w:r>
              <w:rPr>
                <w:rFonts w:ascii="Times New Roman" w:hAnsi="Times New Roman"/>
                <w:color w:val="000000" w:themeColor="text1"/>
              </w:rPr>
              <w:t>ійки Підгірянки Львівської міської ради 22350217</w:t>
            </w:r>
          </w:p>
        </w:tc>
      </w:tr>
      <w:tr w:rsidR="00971104" w:rsidTr="00BD05C4">
        <w:tc>
          <w:tcPr>
            <w:tcW w:w="5004" w:type="dxa"/>
          </w:tcPr>
          <w:p w:rsidR="00971104" w:rsidRPr="007A7690" w:rsidRDefault="00971104" w:rsidP="00BD05C4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7A7690">
              <w:rPr>
                <w:rFonts w:ascii="Times New Roman" w:hAnsi="Times New Roman" w:cs="Times New Roman"/>
                <w:b/>
                <w:highlight w:val="white"/>
              </w:rPr>
              <w:t>Адреса фактичного місцезнаходження навчального закладу</w:t>
            </w:r>
          </w:p>
        </w:tc>
        <w:tc>
          <w:tcPr>
            <w:tcW w:w="4943" w:type="dxa"/>
            <w:vAlign w:val="center"/>
          </w:tcPr>
          <w:p w:rsidR="00971104" w:rsidRPr="00745E36" w:rsidRDefault="007A7690" w:rsidP="007B7A6E">
            <w:pPr>
              <w:suppressAutoHyphens/>
              <w:snapToGrid w:val="0"/>
              <w:jc w:val="center"/>
              <w:rPr>
                <w:rFonts w:ascii="Times New Roman" w:hAnsi="Times New Roman"/>
                <w:color w:val="FF0000"/>
                <w:highlight w:val="yellow"/>
                <w:lang w:eastAsia="ar-SA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</w:rPr>
              <w:t>м.Львів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</w:rPr>
              <w:t>, смт. Рудно, вул. І.Огієнка</w:t>
            </w:r>
            <w:r w:rsidR="007B7A6E">
              <w:rPr>
                <w:rFonts w:ascii="Times New Roman" w:hAnsi="Times New Roman"/>
                <w:bCs/>
                <w:color w:val="000000" w:themeColor="text1"/>
              </w:rPr>
              <w:t>,</w:t>
            </w:r>
            <w:r>
              <w:rPr>
                <w:rFonts w:ascii="Times New Roman" w:hAnsi="Times New Roman"/>
                <w:bCs/>
                <w:color w:val="000000" w:themeColor="text1"/>
              </w:rPr>
              <w:t>9</w:t>
            </w:r>
          </w:p>
        </w:tc>
      </w:tr>
      <w:tr w:rsidR="00971104" w:rsidTr="00BD05C4">
        <w:trPr>
          <w:trHeight w:val="438"/>
        </w:trPr>
        <w:tc>
          <w:tcPr>
            <w:tcW w:w="5004" w:type="dxa"/>
          </w:tcPr>
          <w:p w:rsidR="00971104" w:rsidRDefault="00971104" w:rsidP="00BD05C4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К-сть</w:t>
            </w:r>
          </w:p>
          <w:p w:rsidR="00971104" w:rsidRDefault="00971104" w:rsidP="00BD05C4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днів харчування</w:t>
            </w:r>
          </w:p>
        </w:tc>
        <w:tc>
          <w:tcPr>
            <w:tcW w:w="4943" w:type="dxa"/>
          </w:tcPr>
          <w:p w:rsidR="00971104" w:rsidRPr="007A7690" w:rsidRDefault="007A7690" w:rsidP="007A7690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90</w:t>
            </w:r>
            <w:r w:rsidR="00971104" w:rsidRPr="007A769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971104" w:rsidRPr="007A7690">
              <w:rPr>
                <w:rFonts w:ascii="Times New Roman" w:hAnsi="Times New Roman"/>
                <w:lang w:val="ru-RU"/>
              </w:rPr>
              <w:t>днів</w:t>
            </w:r>
            <w:proofErr w:type="spellEnd"/>
            <w:r w:rsidR="00971104" w:rsidRPr="007A7690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971104" w:rsidTr="00BD05C4">
        <w:tc>
          <w:tcPr>
            <w:tcW w:w="5004" w:type="dxa"/>
          </w:tcPr>
          <w:p w:rsidR="00971104" w:rsidRDefault="00971104" w:rsidP="00BD05C4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К-сть учнів (дітей)</w:t>
            </w:r>
            <w:r w:rsidRPr="00D5374D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*</w:t>
            </w:r>
          </w:p>
          <w:p w:rsidR="00971104" w:rsidRPr="00503F98" w:rsidRDefault="00971104" w:rsidP="00BD05C4">
            <w:p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3" w:type="dxa"/>
          </w:tcPr>
          <w:p w:rsidR="00971104" w:rsidRPr="007A7690" w:rsidRDefault="007A7690" w:rsidP="007A7690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625</w:t>
            </w:r>
            <w:r w:rsidR="00971104" w:rsidRPr="007A769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971104" w:rsidRPr="007A7690">
              <w:rPr>
                <w:rFonts w:ascii="Times New Roman" w:hAnsi="Times New Roman"/>
                <w:lang w:val="ru-RU"/>
              </w:rPr>
              <w:t>д</w:t>
            </w:r>
            <w:r>
              <w:rPr>
                <w:rFonts w:ascii="Times New Roman" w:hAnsi="Times New Roman"/>
                <w:lang w:val="ru-RU"/>
              </w:rPr>
              <w:t>і</w:t>
            </w:r>
            <w:r w:rsidR="00971104" w:rsidRPr="007A7690">
              <w:rPr>
                <w:rFonts w:ascii="Times New Roman" w:hAnsi="Times New Roman"/>
                <w:lang w:val="ru-RU"/>
              </w:rPr>
              <w:t>т</w:t>
            </w:r>
            <w:r>
              <w:rPr>
                <w:rFonts w:ascii="Times New Roman" w:hAnsi="Times New Roman"/>
                <w:lang w:val="ru-RU"/>
              </w:rPr>
              <w:t>ей</w:t>
            </w:r>
            <w:proofErr w:type="spellEnd"/>
          </w:p>
        </w:tc>
      </w:tr>
      <w:tr w:rsidR="00971104" w:rsidTr="00BD05C4">
        <w:tc>
          <w:tcPr>
            <w:tcW w:w="5004" w:type="dxa"/>
          </w:tcPr>
          <w:p w:rsidR="00971104" w:rsidRDefault="00971104" w:rsidP="00BD05C4">
            <w:pPr>
              <w:spacing w:line="22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971104" w:rsidRDefault="00971104" w:rsidP="00BD05C4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 w:rsidRPr="00FA342A">
              <w:rPr>
                <w:rFonts w:ascii="Times New Roman" w:hAnsi="Times New Roman"/>
                <w:b/>
                <w:i/>
              </w:rPr>
              <w:t>Ціна за одиницю харчування</w:t>
            </w:r>
          </w:p>
        </w:tc>
        <w:tc>
          <w:tcPr>
            <w:tcW w:w="4943" w:type="dxa"/>
          </w:tcPr>
          <w:p w:rsidR="00971104" w:rsidRPr="005F455F" w:rsidRDefault="00971104" w:rsidP="00BD05C4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971104" w:rsidRPr="007D2895" w:rsidRDefault="00971104" w:rsidP="00BD05C4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highlight w:val="yellow"/>
              </w:rPr>
            </w:pPr>
            <w:r w:rsidRPr="005F455F">
              <w:rPr>
                <w:rFonts w:ascii="Times New Roman" w:hAnsi="Times New Roman"/>
                <w:sz w:val="14"/>
                <w:szCs w:val="14"/>
                <w:lang w:val="ru-RU"/>
              </w:rPr>
              <w:t>(</w:t>
            </w:r>
            <w:r w:rsidRPr="009C5622">
              <w:rPr>
                <w:rFonts w:ascii="Times New Roman" w:hAnsi="Times New Roman"/>
                <w:sz w:val="14"/>
                <w:szCs w:val="14"/>
              </w:rPr>
              <w:t>заповнюється учасником)</w:t>
            </w:r>
          </w:p>
        </w:tc>
      </w:tr>
      <w:tr w:rsidR="00971104" w:rsidTr="00BD05C4">
        <w:tc>
          <w:tcPr>
            <w:tcW w:w="5004" w:type="dxa"/>
          </w:tcPr>
          <w:p w:rsidR="00971104" w:rsidRDefault="00971104" w:rsidP="00BD05C4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71104" w:rsidRPr="00923E33" w:rsidRDefault="00971104" w:rsidP="00BD05C4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923E33">
              <w:rPr>
                <w:rFonts w:ascii="Times New Roman" w:hAnsi="Times New Roman"/>
                <w:b/>
                <w:lang w:val="ru-RU"/>
              </w:rPr>
              <w:t>Загальна</w:t>
            </w:r>
            <w:proofErr w:type="spellEnd"/>
            <w:r w:rsidRPr="00923E33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923E33">
              <w:rPr>
                <w:rFonts w:ascii="Times New Roman" w:hAnsi="Times New Roman"/>
                <w:b/>
                <w:lang w:val="ru-RU"/>
              </w:rPr>
              <w:t>вартість</w:t>
            </w:r>
            <w:proofErr w:type="spellEnd"/>
            <w:r w:rsidRPr="00D5374D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**</w:t>
            </w:r>
            <w:r w:rsidRPr="00923E33">
              <w:rPr>
                <w:rFonts w:ascii="Times New Roman" w:hAnsi="Times New Roman"/>
                <w:b/>
                <w:lang w:val="ru-RU"/>
              </w:rPr>
              <w:t xml:space="preserve"> – </w:t>
            </w:r>
          </w:p>
          <w:p w:rsidR="00971104" w:rsidRPr="00A4522F" w:rsidRDefault="00971104" w:rsidP="00BD05C4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3" w:type="dxa"/>
          </w:tcPr>
          <w:p w:rsidR="00971104" w:rsidRDefault="00971104" w:rsidP="00BD05C4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</w:p>
          <w:p w:rsidR="00971104" w:rsidRPr="007D2895" w:rsidRDefault="00971104" w:rsidP="00BD05C4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highlight w:val="yellow"/>
              </w:rPr>
            </w:pPr>
            <w:r w:rsidRPr="009C5622">
              <w:rPr>
                <w:rFonts w:ascii="Times New Roman" w:hAnsi="Times New Roman"/>
                <w:sz w:val="14"/>
                <w:szCs w:val="14"/>
                <w:lang w:val="en-US"/>
              </w:rPr>
              <w:t>(</w:t>
            </w:r>
            <w:r w:rsidRPr="009C5622">
              <w:rPr>
                <w:rFonts w:ascii="Times New Roman" w:hAnsi="Times New Roman"/>
                <w:sz w:val="14"/>
                <w:szCs w:val="14"/>
              </w:rPr>
              <w:t>заповнюється учасником)</w:t>
            </w:r>
          </w:p>
        </w:tc>
      </w:tr>
    </w:tbl>
    <w:p w:rsidR="00971104" w:rsidRDefault="00971104" w:rsidP="00971104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  <w:sz w:val="32"/>
          <w:szCs w:val="32"/>
          <w:lang w:eastAsia="ru-RU"/>
        </w:rPr>
        <w:t>*</w:t>
      </w:r>
      <w:r w:rsidRPr="00021400">
        <w:rPr>
          <w:rFonts w:ascii="Times New Roman" w:hAnsi="Times New Roman" w:cs="Times New Roman"/>
        </w:rPr>
        <w:t xml:space="preserve"> </w:t>
      </w:r>
      <w:r w:rsidRPr="002D52FF">
        <w:rPr>
          <w:rFonts w:ascii="Times New Roman" w:hAnsi="Times New Roman" w:cs="Times New Roman"/>
        </w:rPr>
        <w:t>Організ</w:t>
      </w:r>
      <w:r>
        <w:rPr>
          <w:rFonts w:ascii="Times New Roman" w:hAnsi="Times New Roman" w:cs="Times New Roman"/>
        </w:rPr>
        <w:t>ація</w:t>
      </w:r>
      <w:r w:rsidRPr="002D52FF">
        <w:rPr>
          <w:rFonts w:ascii="Times New Roman" w:hAnsi="Times New Roman" w:cs="Times New Roman"/>
        </w:rPr>
        <w:t xml:space="preserve"> </w:t>
      </w:r>
      <w:r w:rsidRPr="00021400">
        <w:rPr>
          <w:rFonts w:ascii="Times New Roman" w:hAnsi="Times New Roman" w:cs="Times New Roman"/>
        </w:rPr>
        <w:t xml:space="preserve">харчування </w:t>
      </w:r>
      <w:r w:rsidRPr="002D52FF">
        <w:rPr>
          <w:rFonts w:ascii="Times New Roman" w:hAnsi="Times New Roman" w:cs="Times New Roman"/>
        </w:rPr>
        <w:t xml:space="preserve">у закладі загальної середньої освіти </w:t>
      </w:r>
      <w:r w:rsidRPr="005B1701">
        <w:rPr>
          <w:rFonts w:ascii="Times New Roman" w:hAnsi="Times New Roman" w:cs="Times New Roman"/>
        </w:rPr>
        <w:t>для учнів початкових класів незалежно</w:t>
      </w:r>
      <w:r w:rsidRPr="002D52FF">
        <w:rPr>
          <w:rFonts w:ascii="Times New Roman" w:hAnsi="Times New Roman" w:cs="Times New Roman"/>
        </w:rPr>
        <w:t xml:space="preserve"> від навчальної зміни (у разі організації в з</w:t>
      </w:r>
      <w:r>
        <w:rPr>
          <w:rFonts w:ascii="Times New Roman" w:hAnsi="Times New Roman" w:cs="Times New Roman"/>
        </w:rPr>
        <w:t xml:space="preserve">аклад освіти змінного навчання) здійснюється шляхом </w:t>
      </w:r>
      <w:r w:rsidRPr="002D52FF">
        <w:rPr>
          <w:rFonts w:ascii="Times New Roman" w:hAnsi="Times New Roman" w:cs="Times New Roman"/>
        </w:rPr>
        <w:t>одноразов</w:t>
      </w:r>
      <w:r>
        <w:rPr>
          <w:rFonts w:ascii="Times New Roman" w:hAnsi="Times New Roman" w:cs="Times New Roman"/>
        </w:rPr>
        <w:t>ого</w:t>
      </w:r>
      <w:r w:rsidRPr="002D52FF">
        <w:rPr>
          <w:rFonts w:ascii="Times New Roman" w:hAnsi="Times New Roman" w:cs="Times New Roman"/>
        </w:rPr>
        <w:t xml:space="preserve"> безоплатн</w:t>
      </w:r>
      <w:r>
        <w:rPr>
          <w:rFonts w:ascii="Times New Roman" w:hAnsi="Times New Roman" w:cs="Times New Roman"/>
        </w:rPr>
        <w:t>ого</w:t>
      </w:r>
      <w:r w:rsidRPr="002D52FF">
        <w:rPr>
          <w:rFonts w:ascii="Times New Roman" w:hAnsi="Times New Roman" w:cs="Times New Roman"/>
        </w:rPr>
        <w:t xml:space="preserve"> гаряч</w:t>
      </w:r>
      <w:r>
        <w:rPr>
          <w:rFonts w:ascii="Times New Roman" w:hAnsi="Times New Roman" w:cs="Times New Roman"/>
        </w:rPr>
        <w:t>ого</w:t>
      </w:r>
      <w:r w:rsidRPr="002D52FF">
        <w:rPr>
          <w:rFonts w:ascii="Times New Roman" w:hAnsi="Times New Roman" w:cs="Times New Roman"/>
        </w:rPr>
        <w:t xml:space="preserve"> харчування (сніданок - до 12 години 00 хвилин або обід з </w:t>
      </w:r>
      <w:r>
        <w:rPr>
          <w:rFonts w:ascii="Times New Roman" w:hAnsi="Times New Roman" w:cs="Times New Roman"/>
        </w:rPr>
        <w:t xml:space="preserve">12 години 00 хвилин) відповідно до норм харчування. </w:t>
      </w:r>
    </w:p>
    <w:p w:rsidR="00971104" w:rsidRDefault="00971104" w:rsidP="00971104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  <w:sz w:val="32"/>
          <w:szCs w:val="32"/>
          <w:lang w:eastAsia="ru-RU"/>
        </w:rPr>
        <w:t>*</w:t>
      </w:r>
      <w:r>
        <w:rPr>
          <w:rFonts w:ascii="Times New Roman" w:hAnsi="Times New Roman" w:cs="Times New Roman"/>
        </w:rPr>
        <w:t>О</w:t>
      </w:r>
      <w:r w:rsidRPr="002D52FF">
        <w:rPr>
          <w:rFonts w:ascii="Times New Roman" w:hAnsi="Times New Roman" w:cs="Times New Roman"/>
        </w:rPr>
        <w:t>дноразове харчув</w:t>
      </w:r>
      <w:r>
        <w:rPr>
          <w:rFonts w:ascii="Times New Roman" w:hAnsi="Times New Roman" w:cs="Times New Roman"/>
        </w:rPr>
        <w:t xml:space="preserve">ання учнів у закладах загальної </w:t>
      </w:r>
      <w:r w:rsidRPr="002D52FF">
        <w:rPr>
          <w:rFonts w:ascii="Times New Roman" w:hAnsi="Times New Roman" w:cs="Times New Roman"/>
        </w:rPr>
        <w:t>середньої освіти Львівської міської територіальної громади у 202</w:t>
      </w:r>
      <w:r>
        <w:rPr>
          <w:rFonts w:ascii="Times New Roman" w:hAnsi="Times New Roman" w:cs="Times New Roman"/>
        </w:rPr>
        <w:t>6</w:t>
      </w:r>
      <w:r w:rsidRPr="002D52FF">
        <w:rPr>
          <w:rFonts w:ascii="Times New Roman" w:hAnsi="Times New Roman" w:cs="Times New Roman"/>
        </w:rPr>
        <w:t xml:space="preserve"> році повинно </w:t>
      </w:r>
      <w:proofErr w:type="spellStart"/>
      <w:r w:rsidRPr="002D52FF">
        <w:rPr>
          <w:rFonts w:ascii="Times New Roman" w:hAnsi="Times New Roman" w:cs="Times New Roman"/>
        </w:rPr>
        <w:t>здійснюватись</w:t>
      </w:r>
      <w:proofErr w:type="spellEnd"/>
      <w:r w:rsidRPr="002D52FF">
        <w:rPr>
          <w:rFonts w:ascii="Times New Roman" w:hAnsi="Times New Roman" w:cs="Times New Roman"/>
        </w:rPr>
        <w:t xml:space="preserve"> з дотриманням вимог чинних нормативно-правових актів в </w:t>
      </w:r>
      <w:r w:rsidRPr="00A20258">
        <w:rPr>
          <w:rFonts w:ascii="Times New Roman" w:hAnsi="Times New Roman" w:cs="Times New Roman"/>
          <w:u w:val="single"/>
        </w:rPr>
        <w:t>межах видатків на харчування, передбачених бюджетом Львівської міської територіальної громади</w:t>
      </w:r>
      <w:r>
        <w:rPr>
          <w:rFonts w:ascii="Times New Roman" w:hAnsi="Times New Roman" w:cs="Times New Roman"/>
        </w:rPr>
        <w:t xml:space="preserve"> на 2026 рік</w:t>
      </w:r>
      <w:r w:rsidRPr="00021400">
        <w:rPr>
          <w:rFonts w:ascii="Times New Roman" w:hAnsi="Times New Roman" w:cs="Times New Roman"/>
        </w:rPr>
        <w:t>, а саме для:</w:t>
      </w:r>
    </w:p>
    <w:p w:rsidR="00971104" w:rsidRPr="00021400" w:rsidRDefault="00971104" w:rsidP="00971104">
      <w:pPr>
        <w:pStyle w:val="a3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учнів початкових класів;</w:t>
      </w:r>
    </w:p>
    <w:p w:rsidR="00971104" w:rsidRPr="00021400" w:rsidRDefault="00971104" w:rsidP="00971104">
      <w:pPr>
        <w:pStyle w:val="a3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дітей-сиріт</w:t>
      </w:r>
      <w:r>
        <w:rPr>
          <w:rFonts w:ascii="Times New Roman" w:hAnsi="Times New Roman"/>
        </w:rPr>
        <w:t>;</w:t>
      </w:r>
    </w:p>
    <w:p w:rsidR="00971104" w:rsidRPr="00021400" w:rsidRDefault="00971104" w:rsidP="00971104">
      <w:pPr>
        <w:pStyle w:val="a3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дітей, позбавлених батьківського піклування</w:t>
      </w:r>
      <w:r>
        <w:rPr>
          <w:rFonts w:ascii="Times New Roman" w:hAnsi="Times New Roman"/>
        </w:rPr>
        <w:t>;</w:t>
      </w:r>
    </w:p>
    <w:p w:rsidR="00971104" w:rsidRPr="00021400" w:rsidRDefault="00971104" w:rsidP="00971104">
      <w:pPr>
        <w:pStyle w:val="a3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дітей з особливими освітніми потребами, які навчаються у спеціальних та інклюзивних класах</w:t>
      </w:r>
      <w:r>
        <w:rPr>
          <w:rFonts w:ascii="Times New Roman" w:hAnsi="Times New Roman"/>
        </w:rPr>
        <w:t>;</w:t>
      </w:r>
    </w:p>
    <w:p w:rsidR="00971104" w:rsidRPr="00021400" w:rsidRDefault="00971104" w:rsidP="00971104">
      <w:pPr>
        <w:pStyle w:val="a3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дітей із сімей, які отримують допомогу згідно із Законом України «Про державну соціальну допомогу малозабезпеченим сім’ям» (на підставі довідок з управління праці і соціального захисту населення)</w:t>
      </w:r>
      <w:r>
        <w:rPr>
          <w:rFonts w:ascii="Times New Roman" w:hAnsi="Times New Roman"/>
        </w:rPr>
        <w:t>;</w:t>
      </w:r>
    </w:p>
    <w:p w:rsidR="00971104" w:rsidRPr="002D52FF" w:rsidRDefault="00971104" w:rsidP="00971104">
      <w:pPr>
        <w:pStyle w:val="a3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дітей з числа осіб, визначених у статтях 10 та 10-1 Закону України «Про статус ветеранів війни, гарантії їх соціального захисту»</w:t>
      </w:r>
      <w:r>
        <w:rPr>
          <w:rFonts w:ascii="Times New Roman" w:hAnsi="Times New Roman"/>
        </w:rPr>
        <w:t>;</w:t>
      </w:r>
    </w:p>
    <w:p w:rsidR="00971104" w:rsidRDefault="00971104" w:rsidP="00971104">
      <w:pPr>
        <w:pStyle w:val="a3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2D52FF">
        <w:rPr>
          <w:rFonts w:ascii="Times New Roman" w:hAnsi="Times New Roman" w:cs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учасників бойових дій</w:t>
      </w:r>
      <w:r>
        <w:rPr>
          <w:rFonts w:ascii="Times New Roman" w:hAnsi="Times New Roman" w:cs="Times New Roman"/>
        </w:rPr>
        <w:t xml:space="preserve"> </w:t>
      </w:r>
      <w:r w:rsidRPr="002D52FF">
        <w:rPr>
          <w:rFonts w:ascii="Times New Roman" w:hAnsi="Times New Roman" w:cs="Times New Roman"/>
        </w:rPr>
        <w:t>(яким у встановленому порядку надано такий статус);</w:t>
      </w:r>
    </w:p>
    <w:p w:rsidR="00971104" w:rsidRDefault="00971104" w:rsidP="00971104">
      <w:pPr>
        <w:pStyle w:val="a3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2D52FF">
        <w:rPr>
          <w:rFonts w:ascii="Times New Roman" w:hAnsi="Times New Roman" w:cs="Times New Roman"/>
        </w:rPr>
        <w:t xml:space="preserve"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осіб, які брали/беруть участь у заходах, необхідних для забезпечення оборони України, захисту безпеки населення та інтересів держави у </w:t>
      </w:r>
      <w:proofErr w:type="spellStart"/>
      <w:r w:rsidRPr="002D52FF">
        <w:rPr>
          <w:rFonts w:ascii="Times New Roman" w:hAnsi="Times New Roman" w:cs="Times New Roman"/>
        </w:rPr>
        <w:t>звʼязку</w:t>
      </w:r>
      <w:proofErr w:type="spellEnd"/>
      <w:r w:rsidRPr="002D52FF">
        <w:rPr>
          <w:rFonts w:ascii="Times New Roman" w:hAnsi="Times New Roman" w:cs="Times New Roman"/>
        </w:rPr>
        <w:t xml:space="preserve"> з військовою агресією російської федерації проти України;</w:t>
      </w:r>
    </w:p>
    <w:p w:rsidR="00971104" w:rsidRDefault="00971104" w:rsidP="00971104">
      <w:pPr>
        <w:pStyle w:val="a3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2D52FF">
        <w:rPr>
          <w:rFonts w:ascii="Times New Roman" w:hAnsi="Times New Roman" w:cs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осіб з інвалідністю внаслідок війни</w:t>
      </w:r>
      <w:r>
        <w:rPr>
          <w:rFonts w:ascii="Times New Roman" w:hAnsi="Times New Roman" w:cs="Times New Roman"/>
        </w:rPr>
        <w:t>;</w:t>
      </w:r>
    </w:p>
    <w:p w:rsidR="00971104" w:rsidRDefault="00971104" w:rsidP="00971104">
      <w:pPr>
        <w:pStyle w:val="a3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дітей з інвалідністю, які навчаються в закладах </w:t>
      </w:r>
      <w:r w:rsidRPr="002D52FF">
        <w:rPr>
          <w:rFonts w:ascii="Times New Roman" w:hAnsi="Times New Roman" w:cs="Times New Roman"/>
        </w:rPr>
        <w:t>загальної середньої освіти</w:t>
      </w:r>
      <w:r w:rsidRPr="00971104">
        <w:rPr>
          <w:rFonts w:ascii="Times New Roman" w:hAnsi="Times New Roman" w:cs="Times New Roman"/>
        </w:rPr>
        <w:t xml:space="preserve"> </w:t>
      </w:r>
      <w:r w:rsidRPr="002D52FF">
        <w:rPr>
          <w:rFonts w:ascii="Times New Roman" w:hAnsi="Times New Roman" w:cs="Times New Roman"/>
        </w:rPr>
        <w:t>Львівської міської територіальної громади</w:t>
      </w:r>
      <w:r>
        <w:rPr>
          <w:rFonts w:ascii="Times New Roman" w:hAnsi="Times New Roman" w:cs="Times New Roman"/>
        </w:rPr>
        <w:t>;</w:t>
      </w:r>
    </w:p>
    <w:p w:rsidR="00971104" w:rsidRDefault="00971104" w:rsidP="00971104">
      <w:pPr>
        <w:pStyle w:val="a3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2D52FF">
        <w:rPr>
          <w:rFonts w:ascii="Times New Roman" w:hAnsi="Times New Roman" w:cs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постраждалих учасників Революції Гідності та Героїв Небесної Сотні;</w:t>
      </w:r>
    </w:p>
    <w:p w:rsidR="00971104" w:rsidRDefault="00971104" w:rsidP="00971104">
      <w:pPr>
        <w:pStyle w:val="a3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2D52FF">
        <w:rPr>
          <w:rFonts w:ascii="Times New Roman" w:hAnsi="Times New Roman" w:cs="Times New Roman"/>
        </w:rPr>
        <w:t>дітей з багатодітних сімей;</w:t>
      </w:r>
    </w:p>
    <w:p w:rsidR="00971104" w:rsidRDefault="00971104" w:rsidP="00971104">
      <w:pPr>
        <w:pStyle w:val="a3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DF0AA3">
        <w:rPr>
          <w:rFonts w:ascii="Times New Roman" w:hAnsi="Times New Roman" w:cs="Times New Roman"/>
        </w:rPr>
        <w:t xml:space="preserve">дітей працівників закладів охорони </w:t>
      </w:r>
      <w:proofErr w:type="spellStart"/>
      <w:r w:rsidRPr="00DF0AA3">
        <w:rPr>
          <w:rFonts w:ascii="Times New Roman" w:hAnsi="Times New Roman" w:cs="Times New Roman"/>
        </w:rPr>
        <w:t>здоровʼя</w:t>
      </w:r>
      <w:proofErr w:type="spellEnd"/>
      <w:r w:rsidRPr="00DF0AA3">
        <w:rPr>
          <w:rFonts w:ascii="Times New Roman" w:hAnsi="Times New Roman" w:cs="Times New Roman"/>
        </w:rPr>
        <w:t xml:space="preserve">, померлих внаслідок </w:t>
      </w:r>
      <w:proofErr w:type="spellStart"/>
      <w:r w:rsidRPr="00DF0AA3">
        <w:rPr>
          <w:rFonts w:ascii="Times New Roman" w:hAnsi="Times New Roman" w:cs="Times New Roman"/>
        </w:rPr>
        <w:t>коронавірусної</w:t>
      </w:r>
      <w:proofErr w:type="spellEnd"/>
      <w:r w:rsidRPr="00DF0AA3">
        <w:rPr>
          <w:rFonts w:ascii="Times New Roman" w:hAnsi="Times New Roman" w:cs="Times New Roman"/>
        </w:rPr>
        <w:t xml:space="preserve"> хвороби (COVID-19);</w:t>
      </w:r>
    </w:p>
    <w:p w:rsidR="00971104" w:rsidRDefault="00971104" w:rsidP="00971104">
      <w:pPr>
        <w:pStyle w:val="a3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DF0AA3">
        <w:rPr>
          <w:rFonts w:ascii="Times New Roman" w:hAnsi="Times New Roman" w:cs="Times New Roman"/>
        </w:rPr>
        <w:t>дітей з числа внутрішньо переміщених осіб чи дітей, які мають статус дитини, яка постраждала внаслідок воєнних дій і збройних конфліктів;</w:t>
      </w:r>
    </w:p>
    <w:p w:rsidR="00971104" w:rsidRDefault="00971104" w:rsidP="00971104">
      <w:pPr>
        <w:pStyle w:val="a3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DF0AA3">
        <w:rPr>
          <w:rFonts w:ascii="Times New Roman" w:hAnsi="Times New Roman" w:cs="Times New Roman"/>
        </w:rPr>
        <w:lastRenderedPageBreak/>
        <w:t>учнів закладів загальної середньої освіти комунальної форми власності Львівської міської територіальної громади з числа дітей (рідних,</w:t>
      </w:r>
      <w:r>
        <w:rPr>
          <w:rFonts w:ascii="Times New Roman" w:hAnsi="Times New Roman" w:cs="Times New Roman"/>
        </w:rPr>
        <w:t xml:space="preserve"> </w:t>
      </w:r>
      <w:r w:rsidRPr="00DF0AA3">
        <w:rPr>
          <w:rFonts w:ascii="Times New Roman" w:hAnsi="Times New Roman" w:cs="Times New Roman"/>
        </w:rPr>
        <w:t>усиновлених,</w:t>
      </w:r>
      <w:r>
        <w:rPr>
          <w:rFonts w:ascii="Times New Roman" w:hAnsi="Times New Roman" w:cs="Times New Roman"/>
        </w:rPr>
        <w:t xml:space="preserve"> </w:t>
      </w:r>
      <w:r w:rsidRPr="00DF0AA3">
        <w:rPr>
          <w:rFonts w:ascii="Times New Roman" w:hAnsi="Times New Roman" w:cs="Times New Roman"/>
        </w:rPr>
        <w:t>пасинків,</w:t>
      </w:r>
      <w:r>
        <w:rPr>
          <w:rFonts w:ascii="Times New Roman" w:hAnsi="Times New Roman" w:cs="Times New Roman"/>
        </w:rPr>
        <w:t xml:space="preserve"> </w:t>
      </w:r>
      <w:r w:rsidRPr="00DF0AA3">
        <w:rPr>
          <w:rFonts w:ascii="Times New Roman" w:hAnsi="Times New Roman" w:cs="Times New Roman"/>
        </w:rPr>
        <w:t>падчерок)</w:t>
      </w:r>
      <w:r>
        <w:rPr>
          <w:rFonts w:ascii="Times New Roman" w:hAnsi="Times New Roman" w:cs="Times New Roman"/>
        </w:rPr>
        <w:t xml:space="preserve"> </w:t>
      </w:r>
      <w:r w:rsidRPr="00DF0AA3">
        <w:rPr>
          <w:rFonts w:ascii="Times New Roman" w:hAnsi="Times New Roman" w:cs="Times New Roman"/>
        </w:rPr>
        <w:t>Захисників</w:t>
      </w:r>
      <w:r>
        <w:rPr>
          <w:rFonts w:ascii="Times New Roman" w:hAnsi="Times New Roman" w:cs="Times New Roman"/>
        </w:rPr>
        <w:t xml:space="preserve"> </w:t>
      </w:r>
      <w:r w:rsidRPr="00DF0AA3">
        <w:rPr>
          <w:rFonts w:ascii="Times New Roman" w:hAnsi="Times New Roman" w:cs="Times New Roman"/>
        </w:rPr>
        <w:t>та</w:t>
      </w:r>
      <w:r>
        <w:rPr>
          <w:rFonts w:ascii="Times New Roman" w:hAnsi="Times New Roman" w:cs="Times New Roman"/>
        </w:rPr>
        <w:t xml:space="preserve"> </w:t>
      </w:r>
      <w:r w:rsidRPr="00DF0AA3">
        <w:rPr>
          <w:rFonts w:ascii="Times New Roman" w:hAnsi="Times New Roman" w:cs="Times New Roman"/>
        </w:rPr>
        <w:t>Захисниць України, які перебувають в полоні або зникли безвісти;</w:t>
      </w:r>
    </w:p>
    <w:p w:rsidR="00971104" w:rsidRPr="00DF0AA3" w:rsidRDefault="00971104" w:rsidP="00971104">
      <w:pPr>
        <w:pStyle w:val="a3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DF0AA3">
        <w:rPr>
          <w:rFonts w:ascii="Times New Roman" w:hAnsi="Times New Roman" w:cs="Times New Roman"/>
        </w:rPr>
        <w:t>дітей з числа осіб, визначених у пункті 11 частини першої статті</w:t>
      </w:r>
      <w:r>
        <w:rPr>
          <w:rFonts w:ascii="Times New Roman" w:hAnsi="Times New Roman" w:cs="Times New Roman"/>
        </w:rPr>
        <w:t xml:space="preserve"> </w:t>
      </w:r>
      <w:r w:rsidRPr="00DF0AA3">
        <w:rPr>
          <w:rFonts w:ascii="Times New Roman" w:hAnsi="Times New Roman" w:cs="Times New Roman"/>
        </w:rPr>
        <w:t>30 Закону України «Про статус і соціальний захист громадян, які постраждали внаслідок Чорнобильської катастрофи».</w:t>
      </w:r>
    </w:p>
    <w:p w:rsidR="00971104" w:rsidRDefault="00971104" w:rsidP="009711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1104" w:rsidRPr="006D3F70" w:rsidRDefault="00971104" w:rsidP="0097110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</w:rPr>
      </w:pPr>
      <w:r w:rsidRPr="006D3F70">
        <w:rPr>
          <w:rFonts w:ascii="Times New Roman" w:hAnsi="Times New Roman" w:cs="Times New Roman"/>
          <w:b/>
        </w:rPr>
        <w:t xml:space="preserve">ВИМОГИ ЩОДО НАДАННЯ ПОСЛУГ </w:t>
      </w:r>
    </w:p>
    <w:p w:rsidR="00971104" w:rsidRPr="006D3F70" w:rsidRDefault="00971104" w:rsidP="0097110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bookmarkStart w:id="1" w:name="_heading=h.gjdgxs" w:colFirst="0" w:colLast="0"/>
      <w:bookmarkEnd w:id="1"/>
      <w:r w:rsidRPr="006D3F70">
        <w:rPr>
          <w:rFonts w:ascii="Times New Roman" w:hAnsi="Times New Roman" w:cs="Times New Roman"/>
        </w:rPr>
        <w:t>Кі</w:t>
      </w:r>
      <w:r>
        <w:rPr>
          <w:rFonts w:ascii="Times New Roman" w:hAnsi="Times New Roman" w:cs="Times New Roman"/>
        </w:rPr>
        <w:t xml:space="preserve">лькість учнів може змінюватися </w:t>
      </w:r>
      <w:r w:rsidRPr="006D3F70">
        <w:rPr>
          <w:rFonts w:ascii="Times New Roman" w:hAnsi="Times New Roman" w:cs="Times New Roman"/>
        </w:rPr>
        <w:t>відповід</w:t>
      </w:r>
      <w:r>
        <w:rPr>
          <w:rFonts w:ascii="Times New Roman" w:hAnsi="Times New Roman" w:cs="Times New Roman"/>
        </w:rPr>
        <w:t xml:space="preserve">но до фактичного відвідування. Учасник </w:t>
      </w:r>
      <w:r w:rsidRPr="006D3F70">
        <w:rPr>
          <w:rFonts w:ascii="Times New Roman" w:hAnsi="Times New Roman" w:cs="Times New Roman"/>
        </w:rPr>
        <w:t>також враховує, що протягом року змінюється віковий та кількісний склад учнів</w:t>
      </w:r>
      <w:r>
        <w:rPr>
          <w:rFonts w:ascii="Times New Roman" w:hAnsi="Times New Roman" w:cs="Times New Roman"/>
        </w:rPr>
        <w:t>.</w:t>
      </w:r>
    </w:p>
    <w:p w:rsidR="00971104" w:rsidRPr="006D3F70" w:rsidRDefault="00971104" w:rsidP="0097110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6D3F70">
        <w:rPr>
          <w:rFonts w:ascii="Times New Roman" w:hAnsi="Times New Roman" w:cs="Times New Roman"/>
        </w:rPr>
        <w:t>Учасник повинен забезпечити необхідну кількість штатного персоналу для приготування їжі, миття посуду, прибирання харчоблоку, видачі готових страв, повного сервірування столів та прибирання столів.</w:t>
      </w:r>
      <w:r>
        <w:rPr>
          <w:rFonts w:ascii="Times New Roman" w:hAnsi="Times New Roman" w:cs="Times New Roman"/>
        </w:rPr>
        <w:t xml:space="preserve"> </w:t>
      </w:r>
      <w:r w:rsidRPr="006D3F70">
        <w:rPr>
          <w:rFonts w:ascii="Times New Roman" w:hAnsi="Times New Roman" w:cs="Times New Roman"/>
        </w:rPr>
        <w:t>Персонал, який планується залучати безпосередньо до приготування їжі, повинен мати медичні книжки з результатами проходження періодичних профілактичних медичних огляді</w:t>
      </w:r>
      <w:r>
        <w:rPr>
          <w:rFonts w:ascii="Times New Roman" w:hAnsi="Times New Roman" w:cs="Times New Roman"/>
        </w:rPr>
        <w:t xml:space="preserve">в, та інші необхідні документи. </w:t>
      </w:r>
      <w:r w:rsidRPr="006D3F70">
        <w:rPr>
          <w:rFonts w:ascii="Times New Roman" w:hAnsi="Times New Roman" w:cs="Times New Roman"/>
        </w:rPr>
        <w:t>Персонал повинен про</w:t>
      </w:r>
      <w:r>
        <w:rPr>
          <w:rFonts w:ascii="Times New Roman" w:hAnsi="Times New Roman" w:cs="Times New Roman"/>
        </w:rPr>
        <w:t>ходити гігієнічне навчання</w:t>
      </w:r>
      <w:r w:rsidRPr="006D3F7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6D3F70">
        <w:rPr>
          <w:rFonts w:ascii="Times New Roman" w:hAnsi="Times New Roman" w:cs="Times New Roman"/>
        </w:rPr>
        <w:t>Продукти, які використовуються під час приготування їжі, повинні мати всі необхідні відповідно до законодавства документи, що підтверджують їх  якість та безпечність, та відповідати гігієнічним вим</w:t>
      </w:r>
      <w:r>
        <w:rPr>
          <w:rFonts w:ascii="Times New Roman" w:hAnsi="Times New Roman" w:cs="Times New Roman"/>
        </w:rPr>
        <w:t xml:space="preserve">огам до харчових продуктів. </w:t>
      </w:r>
      <w:r w:rsidRPr="006D3F70">
        <w:rPr>
          <w:rFonts w:ascii="Times New Roman" w:hAnsi="Times New Roman" w:cs="Times New Roman"/>
        </w:rPr>
        <w:t>Під час надання послуг та приготування їжі учасник забезпечує безперешкодний доступ на харчоблок працівникам замовника, здійснюючим контроль і нагляд, для проведення перевірки відповідності виробництва, зберігання, транспортування, реалізації і використання харчових продуктів.</w:t>
      </w:r>
    </w:p>
    <w:p w:rsidR="00971104" w:rsidRPr="00A20258" w:rsidRDefault="00971104" w:rsidP="0097110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6D3F70">
        <w:rPr>
          <w:rFonts w:ascii="Times New Roman" w:hAnsi="Times New Roman" w:cs="Times New Roman"/>
        </w:rPr>
        <w:t>Учасник повинен проводити бракераж готових страв за участю медичного працівника навчального закладу чи іншої визначеної керівником закладу відповідальною за проведення бракеражу особою/</w:t>
      </w:r>
      <w:proofErr w:type="spellStart"/>
      <w:r w:rsidRPr="006D3F70">
        <w:rPr>
          <w:rFonts w:ascii="Times New Roman" w:hAnsi="Times New Roman" w:cs="Times New Roman"/>
        </w:rPr>
        <w:t>ами</w:t>
      </w:r>
      <w:proofErr w:type="spellEnd"/>
      <w:r w:rsidRPr="006D3F70">
        <w:rPr>
          <w:rFonts w:ascii="Times New Roman" w:hAnsi="Times New Roman" w:cs="Times New Roman"/>
        </w:rPr>
        <w:t>.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(у  відповідності до вимог п.24 постанови 305)</w:t>
      </w:r>
      <w:r>
        <w:rPr>
          <w:rFonts w:ascii="Times New Roman" w:hAnsi="Times New Roman" w:cs="Times New Roman"/>
        </w:rPr>
        <w:t xml:space="preserve"> </w:t>
      </w:r>
      <w:r w:rsidRPr="006D3F70">
        <w:rPr>
          <w:rFonts w:ascii="Times New Roman" w:hAnsi="Times New Roman" w:cs="Times New Roman"/>
        </w:rPr>
        <w:t>та забезпечити дотримання вимог щодо відбору і зберігання добових проб страв.</w:t>
      </w:r>
      <w:r>
        <w:rPr>
          <w:rFonts w:ascii="Times New Roman" w:hAnsi="Times New Roman" w:cs="Times New Roman"/>
        </w:rPr>
        <w:t xml:space="preserve"> </w:t>
      </w:r>
      <w:r w:rsidRPr="006D3F70">
        <w:rPr>
          <w:rFonts w:ascii="Times New Roman" w:hAnsi="Times New Roman" w:cs="Times New Roman"/>
        </w:rPr>
        <w:t>Протягом надання</w:t>
      </w:r>
      <w:r>
        <w:rPr>
          <w:rFonts w:ascii="Times New Roman" w:hAnsi="Times New Roman" w:cs="Times New Roman"/>
        </w:rPr>
        <w:t xml:space="preserve"> послуг учасник повинен </w:t>
      </w:r>
      <w:r w:rsidRPr="006D3F70">
        <w:rPr>
          <w:rFonts w:ascii="Times New Roman" w:hAnsi="Times New Roman" w:cs="Times New Roman"/>
        </w:rPr>
        <w:t xml:space="preserve">вживати заходи щодо забезпечення дотримання правил пожежної безпеки, а також забезпечувати їдальню достатньою кількістю столового та кухонного посуду, кухонного інвентаря, спеціального та санітарного одягу, миючими і дезінфікуючими засобами, </w:t>
      </w:r>
      <w:r w:rsidRPr="006D3F70">
        <w:rPr>
          <w:rFonts w:ascii="Times New Roman" w:hAnsi="Times New Roman"/>
        </w:rPr>
        <w:t>а також необхідним  для роботи технологічним обладнанням (розділові металеві столи,  холодильники, ваги для готової продукції, плит</w:t>
      </w:r>
      <w:r>
        <w:rPr>
          <w:rFonts w:ascii="Times New Roman" w:hAnsi="Times New Roman"/>
        </w:rPr>
        <w:t>и</w:t>
      </w:r>
      <w:r w:rsidRPr="006D3F70">
        <w:rPr>
          <w:rFonts w:ascii="Times New Roman" w:hAnsi="Times New Roman"/>
        </w:rPr>
        <w:t xml:space="preserve">, сковороди, витяжки </w:t>
      </w:r>
      <w:r w:rsidRPr="005E684C">
        <w:rPr>
          <w:rFonts w:ascii="Times New Roman" w:hAnsi="Times New Roman"/>
        </w:rPr>
        <w:t>тощо).</w:t>
      </w:r>
      <w:r w:rsidRPr="005E684C">
        <w:rPr>
          <w:rFonts w:ascii="Times New Roman" w:hAnsi="Times New Roman" w:cs="Times New Roman"/>
        </w:rPr>
        <w:t xml:space="preserve"> </w:t>
      </w:r>
      <w:r w:rsidRPr="005E684C">
        <w:rPr>
          <w:rFonts w:ascii="Times New Roman" w:hAnsi="Times New Roman"/>
        </w:rPr>
        <w:t xml:space="preserve">З метою запобігання зриву харчування </w:t>
      </w:r>
      <w:r>
        <w:rPr>
          <w:rFonts w:ascii="Times New Roman" w:hAnsi="Times New Roman"/>
        </w:rPr>
        <w:t>необхідно відповідне</w:t>
      </w:r>
      <w:r w:rsidRPr="005E684C">
        <w:rPr>
          <w:rFonts w:ascii="Times New Roman" w:hAnsi="Times New Roman"/>
        </w:rPr>
        <w:t xml:space="preserve"> обладнання при потребі мати в наявності до укладення договору та встановити за один робочий день до підписання договору.</w:t>
      </w:r>
    </w:p>
    <w:p w:rsidR="00971104" w:rsidRPr="006D3F70" w:rsidRDefault="00971104" w:rsidP="0097110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6D3F70">
        <w:rPr>
          <w:rFonts w:ascii="Times New Roman" w:hAnsi="Times New Roman" w:cs="Times New Roman"/>
        </w:rPr>
        <w:t>Відповідно до постанов</w:t>
      </w:r>
      <w:r>
        <w:rPr>
          <w:rFonts w:ascii="Times New Roman" w:hAnsi="Times New Roman" w:cs="Times New Roman"/>
        </w:rPr>
        <w:t>и</w:t>
      </w:r>
      <w:r w:rsidRPr="006D3F70">
        <w:rPr>
          <w:rFonts w:ascii="Times New Roman" w:hAnsi="Times New Roman" w:cs="Times New Roman"/>
        </w:rPr>
        <w:t xml:space="preserve"> Кабінету Міністрів України від 24 березня 2021 р. № 305</w:t>
      </w:r>
      <w:r w:rsidRPr="005E68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учасник може забезпечити </w:t>
      </w:r>
      <w:r w:rsidRPr="006D3F70">
        <w:rPr>
          <w:rFonts w:ascii="Times New Roman" w:hAnsi="Times New Roman" w:cs="Times New Roman"/>
        </w:rPr>
        <w:t xml:space="preserve">до реалізації в закладі освіти буфетною продукцією та забезпечити роботу буфету відповідним персоналом і обладнанням. Послуги </w:t>
      </w:r>
      <w:proofErr w:type="spellStart"/>
      <w:r w:rsidRPr="006D3F70">
        <w:rPr>
          <w:rFonts w:ascii="Times New Roman" w:hAnsi="Times New Roman" w:cs="Times New Roman"/>
        </w:rPr>
        <w:t>їдалень</w:t>
      </w:r>
      <w:proofErr w:type="spellEnd"/>
      <w:r w:rsidRPr="006D3F70">
        <w:rPr>
          <w:rFonts w:ascii="Times New Roman" w:hAnsi="Times New Roman" w:cs="Times New Roman"/>
        </w:rPr>
        <w:t xml:space="preserve"> та буфета, а також приготування їжі будуть здійсню</w:t>
      </w:r>
      <w:r>
        <w:rPr>
          <w:rFonts w:ascii="Times New Roman" w:hAnsi="Times New Roman" w:cs="Times New Roman"/>
        </w:rPr>
        <w:t>ються</w:t>
      </w:r>
      <w:r w:rsidRPr="006D3F70">
        <w:rPr>
          <w:rFonts w:ascii="Times New Roman" w:hAnsi="Times New Roman" w:cs="Times New Roman"/>
        </w:rPr>
        <w:t xml:space="preserve"> в приміщеннях їдальні та харчоблоку навчального закладу. Ціна послуг та буфетної продукції має включати в себе витрати на закуп</w:t>
      </w:r>
      <w:r>
        <w:rPr>
          <w:rFonts w:ascii="Times New Roman" w:hAnsi="Times New Roman" w:cs="Times New Roman"/>
        </w:rPr>
        <w:t>івлю</w:t>
      </w:r>
      <w:r w:rsidRPr="006D3F70">
        <w:rPr>
          <w:rFonts w:ascii="Times New Roman" w:hAnsi="Times New Roman" w:cs="Times New Roman"/>
        </w:rPr>
        <w:t xml:space="preserve"> продуктів, транспорт, приготування, а також витрати на прибирання та миття посуду, тощо. Ціна послуг та буфетної продукції повинна включати в себе всі податки та збори, обов’язкові платежі.</w:t>
      </w:r>
    </w:p>
    <w:p w:rsidR="00971104" w:rsidRPr="001758CF" w:rsidRDefault="00971104" w:rsidP="0097110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1758CF">
        <w:rPr>
          <w:rFonts w:ascii="Times New Roman" w:hAnsi="Times New Roman" w:cs="Times New Roman"/>
        </w:rPr>
        <w:t xml:space="preserve">Учасник повинен надати замовнику послуги, якість яких відповідає </w:t>
      </w:r>
      <w:r>
        <w:rPr>
          <w:rFonts w:ascii="Times New Roman" w:hAnsi="Times New Roman" w:cs="Times New Roman"/>
        </w:rPr>
        <w:t>наступним</w:t>
      </w:r>
      <w:r w:rsidRPr="001758CF">
        <w:rPr>
          <w:rFonts w:ascii="Times New Roman" w:hAnsi="Times New Roman" w:cs="Times New Roman"/>
        </w:rPr>
        <w:t xml:space="preserve"> нормативним документам: </w:t>
      </w:r>
    </w:p>
    <w:p w:rsidR="00971104" w:rsidRPr="001758CF" w:rsidRDefault="00971104" w:rsidP="0097110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1758CF">
        <w:rPr>
          <w:rFonts w:ascii="Times New Roman" w:hAnsi="Times New Roman" w:cs="Times New Roman"/>
        </w:rPr>
        <w:t>1)</w:t>
      </w:r>
      <w:r w:rsidRPr="001758CF">
        <w:rPr>
          <w:rFonts w:ascii="Times New Roman" w:hAnsi="Times New Roman" w:cs="Times New Roman"/>
        </w:rPr>
        <w:tab/>
        <w:t>Закону України “Про основні принципи та вимоги до безпечності та якості харчових продуктів”;</w:t>
      </w:r>
    </w:p>
    <w:p w:rsidR="00971104" w:rsidRPr="001758CF" w:rsidRDefault="00971104" w:rsidP="0097110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1758CF">
        <w:rPr>
          <w:rFonts w:ascii="Times New Roman" w:hAnsi="Times New Roman" w:cs="Times New Roman"/>
        </w:rPr>
        <w:t>2)</w:t>
      </w:r>
      <w:r w:rsidRPr="001758CF">
        <w:rPr>
          <w:rFonts w:ascii="Times New Roman" w:hAnsi="Times New Roman" w:cs="Times New Roman"/>
        </w:rPr>
        <w:tab/>
        <w:t>Закону України “Про інформацію для споживачів щодо харчових продуктів”;</w:t>
      </w:r>
    </w:p>
    <w:p w:rsidR="00971104" w:rsidRPr="001758CF" w:rsidRDefault="00971104" w:rsidP="0097110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1758CF">
        <w:rPr>
          <w:rFonts w:ascii="Times New Roman" w:hAnsi="Times New Roman" w:cs="Times New Roman"/>
        </w:rPr>
        <w:t>3)</w:t>
      </w:r>
      <w:r w:rsidRPr="001758CF">
        <w:rPr>
          <w:rFonts w:ascii="Times New Roman" w:hAnsi="Times New Roman" w:cs="Times New Roman"/>
        </w:rPr>
        <w:tab/>
        <w:t>постанові Кабінету Міністрів України від 24.03.2021 № 305 “Про затвердження норм та Порядку організації харчування у закладах освіти та дитячих закладах оздоровлення та відпочинку”;</w:t>
      </w:r>
    </w:p>
    <w:p w:rsidR="00971104" w:rsidRPr="001758CF" w:rsidRDefault="00971104" w:rsidP="0097110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1758CF">
        <w:rPr>
          <w:rFonts w:ascii="Times New Roman" w:hAnsi="Times New Roman" w:cs="Times New Roman"/>
        </w:rPr>
        <w:t>4)</w:t>
      </w:r>
      <w:r w:rsidRPr="001758CF">
        <w:rPr>
          <w:rFonts w:ascii="Times New Roman" w:hAnsi="Times New Roman" w:cs="Times New Roman"/>
        </w:rPr>
        <w:tab/>
        <w:t>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вартість, затвердженому постановою Кабінету Міністрів України від 02.02.2011 № 116 (із змінами);</w:t>
      </w:r>
    </w:p>
    <w:p w:rsidR="00971104" w:rsidRPr="001758CF" w:rsidRDefault="00971104" w:rsidP="0097110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1758CF">
        <w:rPr>
          <w:rFonts w:ascii="Times New Roman" w:hAnsi="Times New Roman" w:cs="Times New Roman"/>
        </w:rPr>
        <w:t>5)</w:t>
      </w:r>
      <w:r w:rsidRPr="001758CF">
        <w:rPr>
          <w:rFonts w:ascii="Times New Roman" w:hAnsi="Times New Roman" w:cs="Times New Roman"/>
        </w:rPr>
        <w:tab/>
        <w:t xml:space="preserve">наказу Мінекономіки від 03.12.2020 № 2532 “Про затвердження Гігієнічних вимог до виробництва та обігу харчових продуктів на </w:t>
      </w:r>
      <w:proofErr w:type="spellStart"/>
      <w:r w:rsidRPr="001758CF">
        <w:rPr>
          <w:rFonts w:ascii="Times New Roman" w:hAnsi="Times New Roman" w:cs="Times New Roman"/>
        </w:rPr>
        <w:t>потужностях</w:t>
      </w:r>
      <w:proofErr w:type="spellEnd"/>
      <w:r w:rsidRPr="001758CF">
        <w:rPr>
          <w:rFonts w:ascii="Times New Roman" w:hAnsi="Times New Roman" w:cs="Times New Roman"/>
        </w:rPr>
        <w:t>, розташованих у закладах загальної середньої освіти”, зареєстрованому в Мін’юсті 22.12.2020 за № 1275/35558;</w:t>
      </w:r>
    </w:p>
    <w:p w:rsidR="00745E36" w:rsidRDefault="00971104" w:rsidP="00745E36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1758CF">
        <w:rPr>
          <w:rFonts w:ascii="Times New Roman" w:hAnsi="Times New Roman" w:cs="Times New Roman"/>
        </w:rPr>
        <w:t>6)</w:t>
      </w:r>
      <w:r w:rsidRPr="001758CF">
        <w:rPr>
          <w:rFonts w:ascii="Times New Roman" w:hAnsi="Times New Roman" w:cs="Times New Roman"/>
        </w:rPr>
        <w:tab/>
        <w:t>наказу Мінагрополітики від 20.10.2022 № 813 “Про затвердження Гігієнічних вимог до виробництва та обігу харчових продуктів тваринного походження”, зареєстрованому в Мін’</w:t>
      </w:r>
      <w:r w:rsidR="00745E36">
        <w:rPr>
          <w:rFonts w:ascii="Times New Roman" w:hAnsi="Times New Roman" w:cs="Times New Roman"/>
        </w:rPr>
        <w:t>юсті 15.11.2022 за № 1409/38745.</w:t>
      </w:r>
    </w:p>
    <w:p w:rsidR="00971104" w:rsidRPr="00745E36" w:rsidRDefault="00971104" w:rsidP="00745E36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32"/>
          <w:szCs w:val="32"/>
          <w:lang w:eastAsia="ru-RU"/>
        </w:rPr>
        <w:t>**</w:t>
      </w:r>
      <w:r w:rsidRPr="003762C8">
        <w:rPr>
          <w:rFonts w:ascii="Times New Roman" w:hAnsi="Times New Roman"/>
          <w:i/>
          <w:sz w:val="20"/>
          <w:szCs w:val="20"/>
          <w:lang w:eastAsia="ru-RU"/>
        </w:rPr>
        <w:t xml:space="preserve">При розрахунку вартості учасником враховується вартість всіх витрат, пов’язаних з виконанням зобов’язань учасника процедури закупівлі (умов договору про закупівлю) щодо надання послуг, включаючи всі супутні витрати (в тому числі прямі витрати, накладні витрати, прибуток, який учасник планує одержати при виконанні </w:t>
      </w:r>
      <w:r w:rsidRPr="003762C8">
        <w:rPr>
          <w:rFonts w:ascii="Times New Roman" w:hAnsi="Times New Roman"/>
          <w:i/>
          <w:sz w:val="20"/>
          <w:szCs w:val="20"/>
          <w:lang w:eastAsia="ru-RU"/>
        </w:rPr>
        <w:lastRenderedPageBreak/>
        <w:t>договору, включаючи витрати на страхування, податки та збори (обов’язкові платежі тощо), що сплачуються або мають бути сплачені учасником).</w:t>
      </w:r>
    </w:p>
    <w:p w:rsidR="00971104" w:rsidRPr="001758CF" w:rsidRDefault="00971104" w:rsidP="009711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32"/>
          <w:szCs w:val="32"/>
          <w:lang w:eastAsia="ru-RU"/>
        </w:rPr>
        <w:t>***</w:t>
      </w:r>
      <w:r w:rsidRPr="00EB30E7">
        <w:rPr>
          <w:rFonts w:ascii="Times New Roman" w:hAnsi="Times New Roman" w:cs="Times New Roman"/>
          <w:i/>
          <w:sz w:val="20"/>
          <w:szCs w:val="20"/>
        </w:rPr>
        <w:t xml:space="preserve">Відповідно до  Порядку надання послуг з харчування дітей у дошкільних, учнів у загальноосвітніх навчальних закладах, операції з надання </w:t>
      </w:r>
      <w:r w:rsidRPr="00CA29FA">
        <w:rPr>
          <w:rFonts w:ascii="Times New Roman" w:hAnsi="Times New Roman" w:cs="Times New Roman"/>
          <w:i/>
          <w:sz w:val="20"/>
          <w:szCs w:val="20"/>
        </w:rPr>
        <w:t xml:space="preserve">яких звільняються від обкладення податком на додану вартість,  затвердженого Постановою КМУ № 116  від 02 лютого 2011 року, </w:t>
      </w:r>
      <w:r w:rsidRPr="00CA29FA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від </w:t>
      </w:r>
      <w:r w:rsidR="00745E36" w:rsidRPr="00745E36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обкладення податком на додану вартість звільняються операції з надання послуг з харчування вихованців у закладах дошкільної освіти, учнів у закладах загальної середньої та професійної (професійно-технічної) освіти у межах грошової норми, визначеної відповідно до затверджених норм харчування в грамах</w:t>
      </w:r>
      <w:r w:rsidR="00745E36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.</w:t>
      </w:r>
    </w:p>
    <w:p w:rsidR="00A044D7" w:rsidRDefault="00A044D7" w:rsidP="00A044D7">
      <w:pPr>
        <w:autoSpaceDE w:val="0"/>
        <w:autoSpaceDN w:val="0"/>
        <w:adjustRightInd w:val="0"/>
        <w:spacing w:after="0" w:line="240" w:lineRule="auto"/>
        <w:ind w:left="284" w:right="23"/>
        <w:jc w:val="center"/>
        <w:rPr>
          <w:rFonts w:ascii="Times New Roman" w:hAnsi="Times New Roman"/>
          <w:b/>
          <w:color w:val="000000"/>
          <w:kern w:val="1"/>
          <w:sz w:val="24"/>
          <w:szCs w:val="24"/>
          <w:lang w:eastAsia="ar-SA"/>
        </w:rPr>
      </w:pPr>
    </w:p>
    <w:sectPr w:rsidR="00A044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6E0E"/>
    <w:multiLevelType w:val="hybridMultilevel"/>
    <w:tmpl w:val="C7606568"/>
    <w:lvl w:ilvl="0" w:tplc="ED3E11A2">
      <w:start w:val="1"/>
      <w:numFmt w:val="decimal"/>
      <w:lvlText w:val="2.%1"/>
      <w:lvlJc w:val="left"/>
      <w:pPr>
        <w:ind w:left="29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" w15:restartNumberingAfterBreak="0">
    <w:nsid w:val="27965D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F646CD"/>
    <w:multiLevelType w:val="multilevel"/>
    <w:tmpl w:val="DB363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9302C"/>
    <w:multiLevelType w:val="multilevel"/>
    <w:tmpl w:val="952C6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F5ABF"/>
    <w:multiLevelType w:val="hybridMultilevel"/>
    <w:tmpl w:val="CA2C72F6"/>
    <w:lvl w:ilvl="0" w:tplc="0422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4A1F5DE5"/>
    <w:multiLevelType w:val="hybridMultilevel"/>
    <w:tmpl w:val="8CAE83CA"/>
    <w:lvl w:ilvl="0" w:tplc="77DA5AF8">
      <w:start w:val="1"/>
      <w:numFmt w:val="decimal"/>
      <w:lvlText w:val="3.%1"/>
      <w:lvlJc w:val="left"/>
      <w:pPr>
        <w:ind w:left="29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6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B16B5"/>
    <w:multiLevelType w:val="hybridMultilevel"/>
    <w:tmpl w:val="1B223118"/>
    <w:lvl w:ilvl="0" w:tplc="86308912">
      <w:start w:val="1"/>
      <w:numFmt w:val="decimal"/>
      <w:lvlText w:val="1.%1"/>
      <w:lvlJc w:val="left"/>
      <w:pPr>
        <w:ind w:left="29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D7"/>
    <w:rsid w:val="0005420D"/>
    <w:rsid w:val="001D40DD"/>
    <w:rsid w:val="00233236"/>
    <w:rsid w:val="00245D1C"/>
    <w:rsid w:val="00263FA5"/>
    <w:rsid w:val="00271E80"/>
    <w:rsid w:val="00431BCA"/>
    <w:rsid w:val="005B1701"/>
    <w:rsid w:val="006744B2"/>
    <w:rsid w:val="006A2FC1"/>
    <w:rsid w:val="00745E36"/>
    <w:rsid w:val="007A7690"/>
    <w:rsid w:val="007B7A6E"/>
    <w:rsid w:val="007F11A4"/>
    <w:rsid w:val="007F5578"/>
    <w:rsid w:val="0083235F"/>
    <w:rsid w:val="0088218A"/>
    <w:rsid w:val="00971104"/>
    <w:rsid w:val="00995785"/>
    <w:rsid w:val="00A044D7"/>
    <w:rsid w:val="00BF65CA"/>
    <w:rsid w:val="00C1441F"/>
    <w:rsid w:val="00C240D9"/>
    <w:rsid w:val="00C379C3"/>
    <w:rsid w:val="00DF786E"/>
    <w:rsid w:val="00EA0638"/>
    <w:rsid w:val="00EC0E62"/>
    <w:rsid w:val="00EE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5D1B8-2DAE-4183-AF66-E621F944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4D7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C List 01,EBRD List,CA bullets,Details,Заголовок 1.1,List Paragraph,Список уровня 2,название табл/рис,заголовок 1.1,Number Bullets,List Paragraph (numbered (a)),1 Буллет,Bullet Number,Bullet 1,Use Case List Paragraph,lp1,lp11,Chapter10"/>
    <w:basedOn w:val="a"/>
    <w:link w:val="a4"/>
    <w:uiPriority w:val="34"/>
    <w:qFormat/>
    <w:rsid w:val="00A044D7"/>
    <w:pPr>
      <w:suppressAutoHyphens/>
      <w:spacing w:after="200" w:line="276" w:lineRule="auto"/>
      <w:ind w:left="720"/>
    </w:pPr>
    <w:rPr>
      <w:kern w:val="1"/>
      <w:lang w:eastAsia="ar-SA"/>
    </w:rPr>
  </w:style>
  <w:style w:type="character" w:customStyle="1" w:styleId="rvts0">
    <w:name w:val="rvts0"/>
    <w:uiPriority w:val="99"/>
    <w:rsid w:val="00A044D7"/>
  </w:style>
  <w:style w:type="character" w:styleId="a5">
    <w:name w:val="Hyperlink"/>
    <w:basedOn w:val="a0"/>
    <w:uiPriority w:val="99"/>
    <w:semiHidden/>
    <w:rsid w:val="00A044D7"/>
    <w:rPr>
      <w:rFonts w:cs="Times New Roman"/>
      <w:color w:val="0000FF"/>
      <w:u w:val="single"/>
    </w:rPr>
  </w:style>
  <w:style w:type="character" w:customStyle="1" w:styleId="a4">
    <w:name w:val="Абзац списку Знак"/>
    <w:aliases w:val="AC List 01 Знак,EBRD List Знак,CA bullets Знак,Details Знак,Заголовок 1.1 Знак,List Paragraph Знак,Список уровня 2 Знак,название табл/рис Знак,заголовок 1.1 Знак,Number Bullets Знак,List Paragraph (numbered (a)) Знак,1 Буллет Знак"/>
    <w:link w:val="a3"/>
    <w:uiPriority w:val="34"/>
    <w:qFormat/>
    <w:locked/>
    <w:rsid w:val="00C379C3"/>
    <w:rPr>
      <w:rFonts w:ascii="Calibri" w:eastAsia="Times New Roman" w:hAnsi="Calibri" w:cs="Calibri"/>
      <w:kern w:val="1"/>
      <w:lang w:eastAsia="ar-SA"/>
    </w:rPr>
  </w:style>
  <w:style w:type="paragraph" w:styleId="HTML">
    <w:name w:val="HTML Preformatted"/>
    <w:basedOn w:val="a"/>
    <w:link w:val="HTML1"/>
    <w:qFormat/>
    <w:rsid w:val="00C379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color w:val="000000"/>
      <w:sz w:val="18"/>
      <w:szCs w:val="18"/>
      <w:lang w:val="en-US" w:eastAsia="ru-RU"/>
    </w:rPr>
  </w:style>
  <w:style w:type="character" w:customStyle="1" w:styleId="HTML0">
    <w:name w:val="Стандартний HTML Знак"/>
    <w:basedOn w:val="a0"/>
    <w:uiPriority w:val="99"/>
    <w:semiHidden/>
    <w:rsid w:val="00C379C3"/>
    <w:rPr>
      <w:rFonts w:ascii="Consolas" w:eastAsia="Times New Roman" w:hAnsi="Consolas" w:cs="Calibri"/>
      <w:sz w:val="20"/>
      <w:szCs w:val="20"/>
      <w:lang w:eastAsia="uk-UA"/>
    </w:rPr>
  </w:style>
  <w:style w:type="character" w:customStyle="1" w:styleId="HTML1">
    <w:name w:val="Стандартний HTML Знак1"/>
    <w:basedOn w:val="a0"/>
    <w:link w:val="HTML"/>
    <w:rsid w:val="00C379C3"/>
    <w:rPr>
      <w:rFonts w:ascii="Courier New" w:eastAsia="Times New Roman" w:hAnsi="Courier New" w:cs="Times New Roman"/>
      <w:color w:val="000000"/>
      <w:sz w:val="18"/>
      <w:szCs w:val="18"/>
      <w:lang w:val="en-US" w:eastAsia="ru-RU"/>
    </w:rPr>
  </w:style>
  <w:style w:type="table" w:styleId="a6">
    <w:name w:val="Table Grid"/>
    <w:basedOn w:val="a1"/>
    <w:uiPriority w:val="39"/>
    <w:rsid w:val="001D40DD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FBA76-84EA-4D7E-9936-602EC593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2026-03-27T14:03:00Z</dcterms:created>
  <dcterms:modified xsi:type="dcterms:W3CDTF">2026-03-27T14:03:00Z</dcterms:modified>
</cp:coreProperties>
</file>